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604f" w14:textId="bd0604f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5 квітня 2016 року N 307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затвердження переліку результативних показників бюджетної програми за КПКВК 2301400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288d1"/>
          <w:sz w:val="18"/>
        </w:rPr>
        <w:t>частини п'ятої статті 20 Бюджетного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288d1"/>
          <w:sz w:val="18"/>
        </w:rPr>
        <w:t>наказу Міністерства фінансів України від 29 грудня 2002 року N 1098 "Про паспорти бюджетних програм"</w:t>
      </w:r>
      <w:r>
        <w:rPr>
          <w:rFonts w:ascii="Arial"/>
          <w:b w:val="false"/>
          <w:i w:val="false"/>
          <w:color w:val="000000"/>
          <w:sz w:val="18"/>
        </w:rPr>
        <w:t xml:space="preserve">, зареєстрованого у Міністерстві юстиції України 21 січня 2003 року за N 47/7368, та </w:t>
      </w:r>
      <w:r>
        <w:rPr>
          <w:rFonts w:ascii="Arial"/>
          <w:b w:val="false"/>
          <w:i w:val="false"/>
          <w:color w:val="0288d1"/>
          <w:sz w:val="18"/>
        </w:rPr>
        <w:t>наказу Міністерства фінансів України від 10 грудня 2010 року N 1536 "Про результативні показники бюджетної програми"</w:t>
      </w:r>
      <w:r>
        <w:rPr>
          <w:rFonts w:ascii="Arial"/>
          <w:b w:val="false"/>
          <w:i w:val="false"/>
          <w:color w:val="000000"/>
          <w:sz w:val="18"/>
        </w:rPr>
        <w:t xml:space="preserve">, зареєстрованого у Міністерстві юстиції України 27 грудня 2010 року за N 1353/18648,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 Затвердити перелік результативних показників бюджетної програми за КПКВК 2301400 "Забезпечення медичних заходів окремих державних програм та комплексних заходів програмного характеру",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Контроль за виконанням цього наказу покласти на заступника Міністра Перегінця І. Б.</w:t>
      </w:r>
    </w:p>
    <w:bookmarkEnd w:id="7"/>
    <w:bookmarkStart w:name="9" w:id="8"/>
    <w:p>
      <w:pPr>
        <w:spacing w:after="0"/>
        <w:ind w:left="0"/>
        <w:jc w:val="both"/>
      </w:pP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9"/>
        </w:tc>
        <w:tc>
          <w:tcPr>
            <w:tcW w:w="6817" w:type="dxa"/>
            <w:tcBorders/>
            <w:vAlign w:val="bottom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Квіташвілі</w:t>
            </w:r>
          </w:p>
          <w:bookmarkEnd w:id="10"/>
        </w:tc>
      </w:tr>
    </w:tbl>
    <w:bookmarkStart w:name="12" w:id="11"/>
    <w:p>
      <w:pPr>
        <w:spacing w:after="0"/>
        <w:ind w:left="0"/>
        <w:jc w:val="both"/>
      </w:pPr>
    </w:p>
    <w:bookmarkEnd w:id="11"/>
    <w:bookmarkStart w:name="13" w:id="12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05 квітня 2016 року N 307</w:t>
      </w:r>
    </w:p>
    <w:bookmarkEnd w:id="12"/>
    <w:bookmarkStart w:name="14" w:id="1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Перелік результативних показників бюджетної програми за КПКВК 2301400 "Забезпечення медичних заходів окремих державних програм та комплексних заходів програмного характеру"</w:t>
      </w:r>
    </w:p>
    <w:bookmarkEnd w:id="1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82"/>
        <w:gridCol w:w="7226"/>
        <w:gridCol w:w="5726"/>
      </w:tblGrid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з/п</w:t>
            </w:r>
          </w:p>
          <w:bookmarkEnd w:id="1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Результативні показники бюджетної програми</w:t>
            </w:r>
          </w:p>
          <w:bookmarkEnd w:id="15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Джерело інформації</w:t>
            </w:r>
          </w:p>
          <w:bookmarkEnd w:id="16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Показники продукту:</w:t>
            </w:r>
          </w:p>
          <w:bookmarkEnd w:id="1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</w:t>
            </w:r>
          </w:p>
          <w:bookmarkEnd w:id="1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" w:id="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Кількість закуплених вакцин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19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База даних "УкрВак 08",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 МОЗ України від 25.07.2008 N 413 "Про затвердження обліково-звітних форм планування і виконання профілактичних щеплень "УкрВак 08"</w:t>
            </w:r>
          </w:p>
          <w:bookmarkEnd w:id="2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</w:t>
            </w:r>
          </w:p>
          <w:bookmarkEnd w:id="2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установ, які отримають імунобіологічні препарати та вироби для забезпечення температурних умов під час транспортування, зберігання та використання імунобіологічних препаратів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</w:t>
            </w:r>
          </w:p>
          <w:bookmarkEnd w:id="2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операцій з трансплантації протягом року</w:t>
            </w:r>
          </w:p>
          <w:bookmarkEnd w:id="24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Інформація Координаційного центру трансплантації органів, тканин та клітин МОЗ України</w:t>
            </w:r>
          </w:p>
          <w:bookmarkEnd w:id="2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</w:t>
            </w:r>
          </w:p>
          <w:bookmarkEnd w:id="2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хворих, яким проводиться імуносупресивна терапія протягом року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</w:t>
            </w:r>
          </w:p>
          <w:bookmarkEnd w:id="2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трансплантантів, що функціонують протягом першого року після операції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</w:t>
            </w:r>
          </w:p>
          <w:bookmarkEnd w:id="3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що отримають медикаменти та вироби медичного призначення протягом року для хворих у до- і післяопераційний період з трансплантації</w:t>
            </w:r>
          </w:p>
          <w:bookmarkEnd w:id="31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3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</w:t>
            </w:r>
          </w:p>
          <w:bookmarkEnd w:id="3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пролікованих хворих на туберкульоз (1, 2, 3, 4 категорії)</w:t>
            </w:r>
          </w:p>
          <w:bookmarkEnd w:id="34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Реєстр хворих на туберкульоз, затверджений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19.10.2012 N 818 "Про затвердження Порядку ведення реєстру хворих на туберкульоз"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України 06.11.2012 за N 1864/22176</w:t>
            </w:r>
          </w:p>
          <w:bookmarkEnd w:id="3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</w:t>
            </w:r>
          </w:p>
          <w:bookmarkEnd w:id="3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що отримують лікарські засоби 1 - 2 ряду для лікування хворих на туберкульоз та тести і витратні матеріали для діагностики туберкульозу</w:t>
            </w:r>
          </w:p>
          <w:bookmarkEnd w:id="37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3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</w:t>
            </w:r>
          </w:p>
          <w:bookmarkEnd w:id="3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хворих на ВІЛ/СНІД, які отримають антиретровірусну терапію</w:t>
            </w:r>
          </w:p>
          <w:bookmarkEnd w:id="40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56 (місячна) "Звіт про надання антиретровірусної терапії ВІЛ-інфікованим особам за ____________ місяць 20__ року",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21.03.2012 N 182 "Про затвердження форм первинної облікової документації і звітності з питань моніторингу лікування ВІЛ-інфікованих осіб та інструкцій щодо їх заповнення"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України 18.05.2012 за N 794/21107</w:t>
            </w:r>
          </w:p>
          <w:bookmarkEnd w:id="4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</w:t>
            </w:r>
          </w:p>
          <w:bookmarkEnd w:id="4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установ з діагностики та лікування хворих на СНІД, що отримають медикаменти та вироби медичного призначення</w:t>
            </w:r>
          </w:p>
          <w:bookmarkEnd w:id="43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47-здоров "Звіт про мережу та діяльність медичних закладів за 20__ рік",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27.07.2006 N 524 "Про затвердження галузевої статистичної форми звітності N 47-здоров "Звіт про мережу та діяльність медичних закладів" та інструкції щодо її заповнення"</w:t>
            </w:r>
          </w:p>
          <w:bookmarkEnd w:id="4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</w:t>
            </w:r>
          </w:p>
          <w:bookmarkEnd w:id="4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закладів служби крові, що отримають вироби медичного призначення для діагностики СНІДу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</w:t>
            </w:r>
          </w:p>
          <w:bookmarkEnd w:id="4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проведених курсів постконтактної профілактики осіб, які мали контакт з біологічними рідинами, пов'язаний з ризиком ВІЛ-інфікування</w:t>
            </w:r>
          </w:p>
          <w:bookmarkEnd w:id="48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4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</w:t>
            </w:r>
          </w:p>
          <w:bookmarkEnd w:id="5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установ, підпорядкованих МОЗ України, з діагностики та лікування хворих на СНІД, що отримають медикаменти та вироби медичного призначення</w:t>
            </w:r>
          </w:p>
          <w:bookmarkEnd w:id="51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5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</w:t>
            </w:r>
          </w:p>
          <w:bookmarkEnd w:id="5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дорослих хворих, які отримають онкопрепарати</w:t>
            </w:r>
          </w:p>
          <w:bookmarkEnd w:id="54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Форма звітності N 35-здоров "Звіт про хворих на злоякісні новоутворення за 20__ рік"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03.05.99 N 102 "Про затвердження форм галузевої статистичної звітності закладів охорони здоров'я України"</w:t>
            </w:r>
          </w:p>
          <w:bookmarkEnd w:id="5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</w:t>
            </w:r>
          </w:p>
          <w:bookmarkEnd w:id="5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закладів охорони здоров'я, підпорядкованих МОЗ України, які отримають лікарські засоби та вироби медичного призначення для забезпечення лікування дітей з онкологічними та онкогематологічними захворюваннями</w:t>
            </w:r>
          </w:p>
          <w:bookmarkEnd w:id="57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5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</w:t>
            </w:r>
          </w:p>
          <w:bookmarkEnd w:id="5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отримують лікарські засоби та вироби медичного призначення для забезпечення лікування дітей, хворих на онкологічні та онкогематологічні захворювання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</w:t>
            </w:r>
          </w:p>
          <w:bookmarkEnd w:id="6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отримають онкопрепарати (для дорослих) протягом року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</w:t>
            </w:r>
          </w:p>
          <w:bookmarkEnd w:id="6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закладів та відділень служби крові, для яких буде придбано вироби та лікарські засоби медичного призначення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</w:t>
            </w:r>
          </w:p>
          <w:bookmarkEnd w:id="6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Кількість дітей/громадян, хворих на орфанні захворювання, які будуть забезпечені медикаментами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(за відповідними напрямами захворювань, видатки на лікування яких передбачені на поточний рік)</w:t>
            </w:r>
          </w:p>
          <w:bookmarkEnd w:id="66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 МОЗ України від 16.02.2004 N 84 "Про створення реєстру дітей, хворих на гіпофізарний нанізм"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; Управлінський облік (звіти регіонів та інша звітність); інформація НДСЛ "ОХМАТДИТ"; інформація ДУ ННЦ "Інститут кардіології ім. М. Д. Стражеска"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(до кожного напряму захворювання застосовується відповідне джерело інформації)</w:t>
            </w:r>
          </w:p>
          <w:bookmarkEnd w:id="6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</w:t>
            </w:r>
          </w:p>
          <w:bookmarkEnd w:id="6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 від 0 до 3 років, хворих на фенілкетонурію, які отримають медикаменти (лікувальне харчування)</w:t>
            </w:r>
          </w:p>
          <w:bookmarkEnd w:id="69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7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</w:t>
            </w:r>
          </w:p>
          <w:bookmarkEnd w:id="7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Кількість новонароджених, які будуть охоплені скринінгом на фенілкетонурію, вроджений гіпотеріоз, адреногенітальний синдром та муковісцидоз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</w:t>
            </w:r>
          </w:p>
          <w:bookmarkEnd w:id="7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дітей-інвалідів, хворих на дитячий церебральний параліч, які будуть забезпечені медикаментами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</w:t>
            </w:r>
          </w:p>
          <w:bookmarkEnd w:id="7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 з хронічними вірусними гепатитами B і C, які будуть забезпечені медикаментами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</w:t>
            </w:r>
          </w:p>
          <w:bookmarkEnd w:id="7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дітей, хворих на хронічну хворобу нирок V стадії, яких буде забезпечено витратними матеріалами для діалізу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</w:t>
            </w:r>
          </w:p>
          <w:bookmarkEnd w:id="7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дітей, хворих на розлади психіки та поведінки із спектра аутизму, які будуть забезпечені медикаментами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</w:t>
            </w:r>
          </w:p>
          <w:bookmarkEnd w:id="8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дітей, хворих на резистентну форму ювенільного ревматоїдного артриту, які будуть забезпечені лікарськими засобами</w:t>
            </w:r>
          </w:p>
          <w:bookmarkEnd w:id="82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8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</w:t>
            </w:r>
          </w:p>
          <w:bookmarkEnd w:id="8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новонароджених з синдромом дихальних розладів, які будуть забезпечені медичними препаратами</w:t>
            </w:r>
          </w:p>
          <w:bookmarkEnd w:id="85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Розрахунковий показник</w:t>
            </w:r>
          </w:p>
          <w:bookmarkEnd w:id="8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28.</w:t>
            </w:r>
          </w:p>
          <w:bookmarkEnd w:id="8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вагітних жінок, які будуть забезпечені антирезусним імуноглобуліном для запобігання гемолітичній хворобі новонароджених</w:t>
            </w:r>
          </w:p>
          <w:bookmarkEnd w:id="88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Розрахунковий показник</w:t>
            </w:r>
          </w:p>
          <w:bookmarkEnd w:id="8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29.</w:t>
            </w:r>
          </w:p>
          <w:bookmarkEnd w:id="9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жінок, які будуть забезпечені препаратом згортання крові, у разі виникнення акушерських кровотеч</w:t>
            </w:r>
          </w:p>
          <w:bookmarkEnd w:id="91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9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30.</w:t>
            </w:r>
          </w:p>
          <w:bookmarkEnd w:id="9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жінок з тяжкими соматичними захворюваннями, вагітність у яких загрожує здоров'ю та життю, які будуть забезпечені контрацептивами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31.</w:t>
            </w:r>
          </w:p>
          <w:bookmarkEnd w:id="9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хворих на гемофілію, які будуть проліковані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32.</w:t>
            </w:r>
          </w:p>
          <w:bookmarkEnd w:id="9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в т. ч. дітей</w:t>
            </w:r>
          </w:p>
          <w:bookmarkEnd w:id="9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33.</w:t>
            </w:r>
          </w:p>
          <w:bookmarkEnd w:id="9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отримають антигемофільні препарати</w:t>
            </w:r>
          </w:p>
          <w:bookmarkEnd w:id="100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10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34.</w:t>
            </w:r>
          </w:p>
          <w:bookmarkEnd w:id="10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спроб лікування безплідності жінок методами допоміжних репродуктивних технологій</w:t>
            </w:r>
          </w:p>
          <w:bookmarkEnd w:id="103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0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35.</w:t>
            </w:r>
          </w:p>
          <w:bookmarkEnd w:id="10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хворих на розсіяний склероз, які будуть забезпечені лікуванням</w:t>
            </w:r>
          </w:p>
          <w:bookmarkEnd w:id="106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0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36.</w:t>
            </w:r>
          </w:p>
          <w:bookmarkEnd w:id="10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дорослих, хворих на ниркову недостатність, які отримають лікування методом перитонеального діалізу</w:t>
            </w:r>
          </w:p>
          <w:bookmarkEnd w:id="10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37.</w:t>
            </w:r>
          </w:p>
          <w:bookmarkEnd w:id="11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дітей віком до 18 років та вагітних, хворих та вперше виявлених на цукровий діабет, які будуть забезпечені витратними матеріалами до індивідуальних глюкометрів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38.</w:t>
            </w:r>
          </w:p>
          <w:bookmarkEnd w:id="11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отримають витратні матеріали для індивідуальних глюкометрів для дітей віком до 18 років та вагітних, хворих та вперше виявлених на цукровий діабет</w:t>
            </w:r>
          </w:p>
          <w:bookmarkEnd w:id="113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11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39.</w:t>
            </w:r>
          </w:p>
          <w:bookmarkEnd w:id="11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хворих на вірусні гепатити B і C, які будуть забезпечені медикаментами</w:t>
            </w:r>
          </w:p>
          <w:bookmarkEnd w:id="116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1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40.</w:t>
            </w:r>
          </w:p>
          <w:bookmarkEnd w:id="11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отримають медикаменти для хворих на вірусні гепатити B і C</w:t>
            </w:r>
          </w:p>
          <w:bookmarkEnd w:id="119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12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41.</w:t>
            </w:r>
          </w:p>
          <w:bookmarkEnd w:id="12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адміністративно-територіальних одиниць, які отримають медичне обладнання</w:t>
            </w:r>
          </w:p>
          <w:bookmarkEnd w:id="122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обладнання</w:t>
            </w:r>
          </w:p>
          <w:bookmarkEnd w:id="12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42.</w:t>
            </w:r>
          </w:p>
          <w:bookmarkEnd w:id="12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Кількість одиниць медичного обладнання, що будуть придбані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Показники ефективності:</w:t>
            </w:r>
          </w:p>
          <w:bookmarkEnd w:id="12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43.</w:t>
            </w:r>
          </w:p>
          <w:bookmarkEnd w:id="12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Середні витрати на закупівлю медикаментів для однієї/одного дитини/громадянина, хворої/хворого на рідкісні (орфанні) захворювання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(за відповідними напрямами захворювань, видатки на лікування яких передбачені на поточний рік)</w:t>
            </w:r>
          </w:p>
          <w:bookmarkEnd w:id="128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Розрахунковий показник</w:t>
            </w:r>
          </w:p>
          <w:bookmarkEnd w:id="12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44.</w:t>
            </w:r>
          </w:p>
          <w:bookmarkEnd w:id="13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продуктів лікувального харчування для однієї дитини, хворої на фенілкетонурію</w:t>
            </w:r>
          </w:p>
          <w:bookmarkEnd w:id="13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45.</w:t>
            </w:r>
          </w:p>
          <w:bookmarkEnd w:id="13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медикаментів для однієї дитини, хворої на дитячий церебральний параліч</w:t>
            </w:r>
          </w:p>
          <w:bookmarkEnd w:id="133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46.</w:t>
            </w:r>
          </w:p>
          <w:bookmarkEnd w:id="13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медикаментів для однієї дитини, хворої на гемофілію</w:t>
            </w:r>
          </w:p>
          <w:bookmarkEnd w:id="13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47.</w:t>
            </w:r>
          </w:p>
          <w:bookmarkEnd w:id="13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медикаментів для однієї дитини, хворої на хронічний вірусний гепатит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48.</w:t>
            </w:r>
          </w:p>
          <w:bookmarkEnd w:id="13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витратних матеріалів для однієї дитини, хворої на хронічну хворобу нирок V стадії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49.</w:t>
            </w:r>
          </w:p>
          <w:bookmarkEnd w:id="14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медикаментів для однієї дитини, хворої на розлади психіки та поведінки із спектра аутизму</w:t>
            </w:r>
          </w:p>
          <w:bookmarkEnd w:id="14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50.</w:t>
            </w:r>
          </w:p>
          <w:bookmarkEnd w:id="14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Середні витрати на закупівлю медикаментів для однієї дитини, хворої на резистентну форму ювенільного ревматоїдного артриту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51.</w:t>
            </w:r>
          </w:p>
          <w:bookmarkEnd w:id="14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Середня вартість закупівлі однієї одиниці обладнання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145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Дані моніторингу медичного ринку</w:t>
            </w:r>
          </w:p>
          <w:bookmarkEnd w:id="146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Показники якості:</w:t>
            </w:r>
          </w:p>
          <w:bookmarkEnd w:id="14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52.</w:t>
            </w:r>
          </w:p>
          <w:bookmarkEnd w:id="14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рівня протипоказань до щеплення у дітей до 6 %</w:t>
            </w:r>
          </w:p>
          <w:bookmarkEnd w:id="149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База даних "УкрВак 08",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 МОЗ України від 25.07.2008 N 413 "Про затвердження обліково-звітних форм планування і виконання профілактичних щеплень "УкрВак 08"</w:t>
            </w:r>
          </w:p>
          <w:bookmarkEnd w:id="15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53.</w:t>
            </w:r>
          </w:p>
          <w:bookmarkEnd w:id="15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Охоплення профілактичними щепленнями дітей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54.</w:t>
            </w:r>
          </w:p>
          <w:bookmarkEnd w:id="15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захворюваності на туберкульоз</w:t>
            </w:r>
          </w:p>
          <w:bookmarkEnd w:id="154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8 "Звіт про захворювання на активний туберкульоз за 20__ рік",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09.06.2005 N 261 "Про затвердження форми звітності N 8 "Звіт про захворювання на активний туберкульоз" та Інструкції щодо її заповнення"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України 29.06.2005 за N 695/10975</w:t>
            </w:r>
          </w:p>
          <w:bookmarkEnd w:id="15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55.</w:t>
            </w:r>
          </w:p>
          <w:bookmarkEnd w:id="15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смертності від туберкульозу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56.</w:t>
            </w:r>
          </w:p>
          <w:bookmarkEnd w:id="15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Відсоток випадків передачі ВІЛ від матері до дитини</w:t>
            </w:r>
          </w:p>
          <w:bookmarkEnd w:id="159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6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57.</w:t>
            </w:r>
          </w:p>
          <w:bookmarkEnd w:id="16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темпів приросту смертності від СНІДу</w:t>
            </w:r>
          </w:p>
          <w:bookmarkEnd w:id="162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1-ВІЛ/СНІД (квартальна) "Звіт про осіб зі станами та хворобами, що зумовлені вірусом імунодефіциту людини (ВІЛ), за ____ квартал 20__ року",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05.03.2013 N 180 "Про затвердження форм первинної облікової документації і звітності з питань моніторингу епідемічної ситуації з ВІЛ-інфекції та інструкцій щодо їх заповнення"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України 07.03.2013 за N 495/23027</w:t>
            </w:r>
          </w:p>
          <w:bookmarkEnd w:id="16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58.</w:t>
            </w:r>
          </w:p>
          <w:bookmarkEnd w:id="16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виявленості на злоякісні захворювання I та II стадії (від вперше захворівших)</w:t>
            </w:r>
          </w:p>
          <w:bookmarkEnd w:id="165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Національний канцер-реєстр України, затверджений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22.01.96 N 10 "Про створення національного канцер-реєстру України"</w:t>
            </w:r>
          </w:p>
          <w:bookmarkEnd w:id="16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59.</w:t>
            </w:r>
          </w:p>
          <w:bookmarkEnd w:id="16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дорокової летальності онкологічних хворих</w:t>
            </w:r>
          </w:p>
          <w:bookmarkEnd w:id="16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60.</w:t>
            </w:r>
          </w:p>
          <w:bookmarkEnd w:id="16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смертності від онкологічних захворювань (хворих на 100000 населення)</w:t>
            </w:r>
          </w:p>
          <w:bookmarkEnd w:id="170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7 "Звіт про захворювання на злоякісні новоутворення за 20__ рік",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07.04.2006 N 203 "Про затвердження Форм звітності та Інструкцій щодо їхнього заповнення"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України 26.04.2006 за N 493/12367</w:t>
            </w:r>
          </w:p>
          <w:bookmarkEnd w:id="17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61.</w:t>
            </w:r>
          </w:p>
          <w:bookmarkEnd w:id="17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охоплення спеціальним лікуванням онкохворих "від вперше захворівших"</w:t>
            </w:r>
          </w:p>
          <w:bookmarkEnd w:id="173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Національний канцер-реєстр України, затверджений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22.01.96 N 10 "Про створення національного канцер-реєстру України"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управлінський облік (звіти регіонів, за формою, встановленою МОЗ України)</w:t>
            </w:r>
          </w:p>
          <w:bookmarkEnd w:id="17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62.</w:t>
            </w:r>
          </w:p>
          <w:bookmarkEnd w:id="17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Прогнозований показник 5-річного виживання дітей з онкологічними та онкогематологічними захворюваннями</w:t>
            </w:r>
          </w:p>
          <w:bookmarkEnd w:id="17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63.</w:t>
            </w:r>
          </w:p>
          <w:bookmarkEnd w:id="17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Відсоток забезпечення дітей від 0 до 18 років, хворих на розлади психіки та поведінки із спектра аутизму, які будуть забезпечені медикаментами</w:t>
            </w:r>
          </w:p>
          <w:bookmarkEnd w:id="178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7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64.</w:t>
            </w:r>
          </w:p>
          <w:bookmarkEnd w:id="18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відсотка дітей з порушеннями адаптивної поведінки, яка не дозволяє дитині відвідувати спеціальні загальноосвітні дошкільні та шкільні заклади та яких забезпечено лікарськими засобами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65.</w:t>
            </w:r>
          </w:p>
          <w:bookmarkEnd w:id="18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частоти епілептичних нападів у дітей з коморбідними епілепсіями, яких забезпечено лікарськими засобами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66.</w:t>
            </w:r>
          </w:p>
          <w:bookmarkEnd w:id="18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оперативних втручань у хворих із серцево-судинною патологією</w:t>
            </w:r>
          </w:p>
          <w:bookmarkEnd w:id="185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12 "Звіт про захворювання, зареєстровані у хворих, які проживають у районі обслуговування лікувально-профілактичного закладу, за 20__ рік",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10.07.2007 N 378 "Про затвердження форм звітності з питань охорони здоров'я та інструкцій щодо їхнього заповнення"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зареєстрованим Міністерством юстиції 03.09.2007 за N 1009/14276</w:t>
            </w:r>
          </w:p>
          <w:bookmarkEnd w:id="18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67.</w:t>
            </w:r>
          </w:p>
          <w:bookmarkEnd w:id="18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оперативних втручань у хворих із судинно-мозковою патологією</w:t>
            </w:r>
          </w:p>
          <w:bookmarkEnd w:id="18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68.</w:t>
            </w:r>
          </w:p>
          <w:bookmarkEnd w:id="18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хворих на гострий інфаркт міокарда, яким проведено реперфузійну терапію</w:t>
            </w:r>
          </w:p>
          <w:bookmarkEnd w:id="19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69.</w:t>
            </w:r>
          </w:p>
          <w:bookmarkEnd w:id="19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летальності від гострого інфаркту міокарда з елевацією сегмента ST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70.</w:t>
            </w:r>
          </w:p>
          <w:bookmarkEnd w:id="19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Стабілізація первинної інвалідності хворих на розсіяний склероз</w:t>
            </w:r>
          </w:p>
          <w:bookmarkEnd w:id="194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19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71.</w:t>
            </w:r>
          </w:p>
          <w:bookmarkEnd w:id="19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хворих, у яких рівень глікованого гемоглобіну не перевищує 8,0 %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72.</w:t>
            </w:r>
          </w:p>
          <w:bookmarkEnd w:id="19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лікарськими засобами хворих, які перенесли операції з трансплантації</w:t>
            </w:r>
          </w:p>
          <w:bookmarkEnd w:id="199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Щорічні накази МОЗ України про розподіл лікарських засобів / виробів медичного призначення</w:t>
            </w:r>
          </w:p>
          <w:bookmarkEnd w:id="20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73.</w:t>
            </w:r>
          </w:p>
          <w:bookmarkEnd w:id="20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Забезпеченість лікарськими засобами хворих на туберкульоз (з урахуванням динамічного запасу протитуберкульозних препаратів)</w:t>
            </w:r>
          </w:p>
          <w:bookmarkEnd w:id="202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Форма звітності N 33-здоров "Звіт про хворих на туберкульоз за 20__ рік", затверджено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наказом МОЗ України від 03.05.99 N 102 "Про затвердження форм галузевої статистичної звітності закладів охорони здоров'я України"</w:t>
            </w:r>
          </w:p>
          <w:bookmarkEnd w:id="20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74.</w:t>
            </w:r>
          </w:p>
          <w:bookmarkEnd w:id="20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витратними матеріалами для проведення діагностики туберкульозу</w:t>
            </w:r>
          </w:p>
          <w:bookmarkEnd w:id="205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20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75.</w:t>
            </w:r>
          </w:p>
          <w:bookmarkEnd w:id="20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антиретровірусними лікарськими засобами дорослих, підлітків хворих на ВІЛ-інфекцію/СНІД</w:t>
            </w:r>
          </w:p>
          <w:bookmarkEnd w:id="20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76.</w:t>
            </w:r>
          </w:p>
          <w:bookmarkEnd w:id="20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антиретровірусними лікарськими засобами дітей, хворих на ВІЛ-інфекцію/СНІД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77.</w:t>
            </w:r>
          </w:p>
          <w:bookmarkEnd w:id="21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тест-системами на СНІД установ для діагностики та лікування хворих на СНІД</w:t>
            </w:r>
          </w:p>
          <w:bookmarkEnd w:id="21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78.</w:t>
            </w:r>
          </w:p>
          <w:bookmarkEnd w:id="21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тест-системами на СНІД закладів служби крові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79.</w:t>
            </w:r>
          </w:p>
          <w:bookmarkEnd w:id="21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лікарськими засобами дорослих хворих на онкологічні захворювання</w:t>
            </w:r>
          </w:p>
          <w:bookmarkEnd w:id="21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80.</w:t>
            </w:r>
          </w:p>
          <w:bookmarkEnd w:id="21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лікарськими засобами та виробами медичного призначення дітей від 0 до 18 років, хворих на онкогематологічні та онкологічні захворювання</w:t>
            </w:r>
          </w:p>
          <w:bookmarkEnd w:id="21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82.</w:t>
            </w:r>
          </w:p>
          <w:bookmarkEnd w:id="21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заготівлі крові у пластикатну тару</w:t>
            </w:r>
          </w:p>
          <w:bookmarkEnd w:id="220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22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83.</w:t>
            </w:r>
          </w:p>
          <w:bookmarkEnd w:id="22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Рівень охоплення обстеження донорської крові на гемотрансмісивні інфекції</w:t>
            </w:r>
          </w:p>
          <w:bookmarkEnd w:id="223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22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84.</w:t>
            </w:r>
          </w:p>
          <w:bookmarkEnd w:id="22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Забезпечення дітей/громадян, хворих на орфанні захворювання, які будуть забезпечені медикаментами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(за відповідними напрямами захворювань, видатки на лікування яких передбачені на поточний рік)</w:t>
            </w:r>
          </w:p>
          <w:bookmarkEnd w:id="226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Наказ МОЗ України від 16.02.2004 N 84 "Про створення реєстру дітей, хворих на гіпофізарний нанізм"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; Управлінський облік (звіти регіонів та інша звітність); інформація НДСЛ "ОХМАТДИТ"; інформація ДУ ННЦ "Інститут кардіології ім. М. Д. Стражеска"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(до кожного напряму захворювання застосовується відповідне джерело інформації)</w:t>
            </w:r>
          </w:p>
          <w:bookmarkEnd w:id="22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85.</w:t>
            </w:r>
          </w:p>
          <w:bookmarkEnd w:id="22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дієтотерапією хворих на фенілкетонурію дітей від 0 до 3-х років</w:t>
            </w:r>
          </w:p>
          <w:bookmarkEnd w:id="229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23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86.</w:t>
            </w:r>
          </w:p>
          <w:bookmarkEnd w:id="23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Забезпечення охоплення новонароджених дітей обстеженням на фенілкетонурію, вроджений гіпотеріоз, муковісцидоз та адреногенітальний синдром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(згідно з номенклатурою, затвердженою на поточний рік)</w:t>
            </w:r>
          </w:p>
          <w:bookmarkEnd w:id="23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87.</w:t>
            </w:r>
          </w:p>
          <w:bookmarkEnd w:id="233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дітей-інвалідів, хворих на спастичну форму ДЦП, медикаментами</w:t>
            </w:r>
          </w:p>
          <w:bookmarkEnd w:id="234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88.</w:t>
            </w:r>
          </w:p>
          <w:bookmarkEnd w:id="235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дітей, хворих на гемофілію</w:t>
            </w:r>
          </w:p>
          <w:bookmarkEnd w:id="23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89.</w:t>
            </w:r>
          </w:p>
          <w:bookmarkEnd w:id="237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дітей, хворих на хронічні вірусні гепатити B та C, медикаментами</w:t>
            </w:r>
          </w:p>
          <w:bookmarkEnd w:id="238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90.</w:t>
            </w:r>
          </w:p>
          <w:bookmarkEnd w:id="239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дітей, хворих на хронічну хворобу нирок V стадії, витратними матеріалами для діалізу</w:t>
            </w:r>
          </w:p>
          <w:bookmarkEnd w:id="240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91.</w:t>
            </w:r>
          </w:p>
          <w:bookmarkEnd w:id="241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дітей від 0 до 18 років, хворих на розлади психіки та поведінки із спектра аутизму</w:t>
            </w:r>
          </w:p>
          <w:bookmarkEnd w:id="242"/>
        </w:tc>
        <w:tc>
          <w:tcPr>
            <w:tcW w:w="57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Управлінський облік (звіти регіонів та інша звітність)</w:t>
            </w:r>
          </w:p>
          <w:bookmarkEnd w:id="24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92.</w:t>
            </w:r>
          </w:p>
          <w:bookmarkEnd w:id="24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дітей, хворих на резистентну форму ювенільного ревматоїдного артриту, лікарськими засобами</w:t>
            </w:r>
          </w:p>
          <w:bookmarkEnd w:id="24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93.</w:t>
            </w:r>
          </w:p>
          <w:bookmarkEnd w:id="24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профілактикою та лікуванням новонароджених з синдромом дихальних розладів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94.</w:t>
            </w:r>
          </w:p>
          <w:bookmarkEnd w:id="24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вагітних антирезусним імуноглобуліном</w:t>
            </w:r>
          </w:p>
          <w:bookmarkEnd w:id="24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95.</w:t>
            </w:r>
          </w:p>
          <w:bookmarkEnd w:id="25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роділь та породіль з кровотечами препаратами згортання крові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96.</w:t>
            </w:r>
          </w:p>
          <w:bookmarkEnd w:id="25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жінок з тяжкими соматичними захворюваннями контрацептивами</w:t>
            </w:r>
          </w:p>
          <w:bookmarkEnd w:id="253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97.</w:t>
            </w:r>
          </w:p>
          <w:bookmarkEnd w:id="25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дорослих хворих на гемофілію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98.</w:t>
            </w:r>
          </w:p>
          <w:bookmarkEnd w:id="25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жінок з абсолютними показами лікуванням за допомогою допоміжних репродуктивних технологій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99.</w:t>
            </w:r>
          </w:p>
          <w:bookmarkEnd w:id="25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лікуванням вперше виявлених хворих на розсіяний склероз</w:t>
            </w:r>
          </w:p>
          <w:bookmarkEnd w:id="25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100.</w:t>
            </w:r>
          </w:p>
          <w:bookmarkEnd w:id="26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хворих на серцево-судинні і судинно-мозкові захворювання лікарськими засобами та виробами медичного призначення</w:t>
            </w:r>
          </w:p>
          <w:bookmarkEnd w:id="26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101.</w:t>
            </w:r>
          </w:p>
          <w:bookmarkEnd w:id="262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лікуванням хворих дорослого віку, які отримають лікування методом перитонеального діалізу</w:t>
            </w:r>
          </w:p>
          <w:bookmarkEnd w:id="263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102.</w:t>
            </w:r>
          </w:p>
          <w:bookmarkEnd w:id="264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хворих ендопротезами</w:t>
            </w:r>
          </w:p>
          <w:bookmarkEnd w:id="26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103.</w:t>
            </w:r>
          </w:p>
          <w:bookmarkEnd w:id="266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дітей та вагітних, хворих та вперше виявлених на цукровий діабет, витратними матеріалами до індивідуальних глюкометрів</w:t>
            </w:r>
          </w:p>
          <w:bookmarkEnd w:id="267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104.</w:t>
            </w:r>
          </w:p>
          <w:bookmarkEnd w:id="268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хворих на вірусні гепатити B і C</w:t>
            </w:r>
          </w:p>
          <w:bookmarkEnd w:id="269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105.</w:t>
            </w:r>
          </w:p>
          <w:bookmarkEnd w:id="270"/>
        </w:tc>
        <w:tc>
          <w:tcPr>
            <w:tcW w:w="7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адміністративно-територіальних одиниць медичним обладнанням</w:t>
            </w:r>
          </w:p>
          <w:bookmarkEnd w:id="271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</w:tbl>
    <w:bookmarkStart w:name="273" w:id="272"/>
    <w:p>
      <w:pPr>
        <w:spacing w:after="0"/>
        <w:ind w:left="0"/>
        <w:jc w:val="both"/>
      </w:pP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фінансово-ресурсного забезпечення</w:t>
            </w:r>
          </w:p>
          <w:bookmarkEnd w:id="273"/>
        </w:tc>
        <w:tc>
          <w:tcPr>
            <w:tcW w:w="6817" w:type="dxa"/>
            <w:tcBorders/>
            <w:vAlign w:val="bottom"/>
          </w:tcPr>
          <w:bookmarkStart w:name="275" w:id="27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Л. Якубівський</w:t>
            </w:r>
          </w:p>
          <w:bookmarkEnd w:id="274"/>
        </w:tc>
      </w:tr>
    </w:tbl>
    <w:bookmarkStart w:name="276" w:id="275"/>
    <w:p>
      <w:pPr>
        <w:spacing w:after="0"/>
        <w:ind w:left="0"/>
        <w:jc w:val="both"/>
      </w:pPr>
    </w:p>
    <w:bookmarkEnd w:id="27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